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94" w:rsidRDefault="009C71C2" w:rsidP="00263294">
      <w:pPr>
        <w:pStyle w:val="BodyText"/>
        <w:jc w:val="center"/>
        <w:outlineLvl w:val="0"/>
        <w:rPr>
          <w:b/>
          <w:szCs w:val="28"/>
        </w:rPr>
      </w:pPr>
      <w:bookmarkStart w:id="0" w:name="_GoBack"/>
      <w:r>
        <w:rPr>
          <w:b/>
          <w:szCs w:val="28"/>
        </w:rPr>
        <w:t xml:space="preserve">Priekšlikumi likumprojekta </w:t>
      </w:r>
      <w:r w:rsidR="00162116">
        <w:rPr>
          <w:b/>
          <w:szCs w:val="28"/>
        </w:rPr>
        <w:t>"</w:t>
      </w:r>
      <w:r w:rsidRPr="00F81208">
        <w:rPr>
          <w:b/>
        </w:rPr>
        <w:t xml:space="preserve">Grozījumi likumā </w:t>
      </w:r>
      <w:r w:rsidR="00162116">
        <w:rPr>
          <w:b/>
          <w:szCs w:val="28"/>
        </w:rPr>
        <w:t>"</w:t>
      </w:r>
      <w:r w:rsidRPr="00F81208">
        <w:rPr>
          <w:b/>
        </w:rPr>
        <w:t>Par iedzīvotāju ienākuma nodokli</w:t>
      </w:r>
      <w:r w:rsidR="00162116">
        <w:rPr>
          <w:b/>
          <w:szCs w:val="28"/>
        </w:rPr>
        <w:t>""</w:t>
      </w:r>
      <w:r w:rsidR="00263294">
        <w:rPr>
          <w:b/>
          <w:szCs w:val="28"/>
        </w:rPr>
        <w:t xml:space="preserve"> izskatīšanai Saeimā otrajā lasījumā</w:t>
      </w:r>
      <w:r w:rsidR="00263294">
        <w:rPr>
          <w:sz w:val="16"/>
          <w:szCs w:val="16"/>
        </w:rPr>
        <w:t xml:space="preserve"> </w:t>
      </w:r>
    </w:p>
    <w:bookmarkEnd w:id="0"/>
    <w:p w:rsidR="00263294" w:rsidRDefault="00263294" w:rsidP="00263294">
      <w:pPr>
        <w:pStyle w:val="BodyText"/>
        <w:rPr>
          <w:b/>
          <w:sz w:val="24"/>
          <w:szCs w:val="24"/>
        </w:rPr>
      </w:pPr>
      <w:r>
        <w:rPr>
          <w:b/>
          <w:sz w:val="24"/>
          <w:szCs w:val="24"/>
        </w:rPr>
        <w:t>     TA-</w:t>
      </w:r>
      <w:r w:rsidR="009C71C2">
        <w:rPr>
          <w:b/>
          <w:sz w:val="24"/>
          <w:szCs w:val="24"/>
        </w:rPr>
        <w:t>1245</w:t>
      </w:r>
      <w:r>
        <w:rPr>
          <w:b/>
          <w:sz w:val="24"/>
          <w:szCs w:val="24"/>
        </w:rPr>
        <w:t xml:space="preserve"> </w:t>
      </w:r>
    </w:p>
    <w:p w:rsidR="00263294" w:rsidRDefault="00263294" w:rsidP="00263294">
      <w:pPr>
        <w:pStyle w:val="Header"/>
        <w:tabs>
          <w:tab w:val="left" w:pos="720"/>
        </w:tabs>
        <w:ind w:firstLine="720"/>
        <w:jc w:val="both"/>
        <w:rPr>
          <w:lang w:val="lv-LV"/>
        </w:rPr>
      </w:pPr>
      <w:r>
        <w:rPr>
          <w:lang w:val="lv-LV"/>
        </w:rPr>
        <w:t>______________________________________________________</w:t>
      </w:r>
    </w:p>
    <w:p w:rsidR="00263294" w:rsidRDefault="00263294" w:rsidP="00263294">
      <w:pPr>
        <w:jc w:val="center"/>
        <w:rPr>
          <w:sz w:val="24"/>
        </w:rPr>
      </w:pPr>
      <w:r>
        <w:rPr>
          <w:sz w:val="24"/>
        </w:rPr>
        <w:t>(</w:t>
      </w:r>
      <w:r>
        <w:rPr>
          <w:sz w:val="24"/>
          <w:szCs w:val="24"/>
        </w:rPr>
        <w:t>_,_</w:t>
      </w:r>
      <w:r>
        <w:rPr>
          <w:sz w:val="24"/>
        </w:rPr>
        <w:t>)</w:t>
      </w:r>
    </w:p>
    <w:p w:rsidR="00263294" w:rsidRDefault="00263294" w:rsidP="00263294">
      <w:pPr>
        <w:jc w:val="both"/>
      </w:pPr>
    </w:p>
    <w:p w:rsidR="00263294" w:rsidRDefault="00263294" w:rsidP="008873B1">
      <w:pPr>
        <w:ind w:firstLine="720"/>
        <w:jc w:val="both"/>
        <w:rPr>
          <w:rStyle w:val="spelle"/>
        </w:rPr>
      </w:pPr>
      <w:r>
        <w:rPr>
          <w:rStyle w:val="spelle"/>
        </w:rPr>
        <w:t xml:space="preserve">1. Atbalstīt Saeimas Budžeta un finanšu (nodokļu) komisijas apkopoto </w:t>
      </w:r>
      <w:r w:rsidR="009E7F4E">
        <w:rPr>
          <w:rStyle w:val="spelle"/>
        </w:rPr>
        <w:t xml:space="preserve">1., 2.1.., 3.,  5., 6., 7., 8., 11., 15., 18., 20., 23., 25., 29., 32., 33., </w:t>
      </w:r>
      <w:r w:rsidR="008A369F">
        <w:rPr>
          <w:rStyle w:val="spelle"/>
        </w:rPr>
        <w:t>40., 47., 60., 62., 63. un</w:t>
      </w:r>
      <w:r w:rsidR="009E7F4E">
        <w:rPr>
          <w:rStyle w:val="spelle"/>
        </w:rPr>
        <w:t xml:space="preserve"> </w:t>
      </w:r>
      <w:r w:rsidR="008A369F">
        <w:rPr>
          <w:rStyle w:val="spelle"/>
        </w:rPr>
        <w:t>72</w:t>
      </w:r>
      <w:r>
        <w:rPr>
          <w:rStyle w:val="spelle"/>
        </w:rPr>
        <w:t xml:space="preserve">.priekšlikumu likumprojekta izskatīšanai Saeimā otrajā lasījumā. </w:t>
      </w:r>
    </w:p>
    <w:p w:rsidR="008873B1" w:rsidRDefault="008873B1" w:rsidP="008873B1">
      <w:pPr>
        <w:ind w:firstLine="720"/>
        <w:jc w:val="both"/>
        <w:rPr>
          <w:rStyle w:val="spelle"/>
        </w:rPr>
      </w:pPr>
    </w:p>
    <w:p w:rsidR="009E7F4E" w:rsidRDefault="008873B1" w:rsidP="008A369F">
      <w:pPr>
        <w:ind w:firstLine="709"/>
        <w:jc w:val="both"/>
        <w:rPr>
          <w:rStyle w:val="spelle"/>
        </w:rPr>
      </w:pPr>
      <w:r>
        <w:rPr>
          <w:rStyle w:val="spelle"/>
        </w:rPr>
        <w:t xml:space="preserve">2. </w:t>
      </w:r>
      <w:r w:rsidR="009E7F4E">
        <w:rPr>
          <w:rStyle w:val="spelle"/>
        </w:rPr>
        <w:t xml:space="preserve">Atbalstīt pēc būtības 4. </w:t>
      </w:r>
      <w:r w:rsidR="008A369F">
        <w:rPr>
          <w:rStyle w:val="spelle"/>
        </w:rPr>
        <w:t>priekšlikumu</w:t>
      </w:r>
      <w:r w:rsidR="008A369F" w:rsidRPr="009E7F4E">
        <w:rPr>
          <w:rStyle w:val="spelle"/>
          <w:szCs w:val="28"/>
        </w:rPr>
        <w:t xml:space="preserve"> </w:t>
      </w:r>
      <w:r w:rsidR="009E7F4E" w:rsidRPr="009E7F4E">
        <w:rPr>
          <w:rStyle w:val="spelle"/>
          <w:szCs w:val="28"/>
        </w:rPr>
        <w:t>(</w:t>
      </w:r>
      <w:r w:rsidR="009E7F4E" w:rsidRPr="009E7F4E">
        <w:rPr>
          <w:color w:val="000000"/>
          <w:szCs w:val="28"/>
        </w:rPr>
        <w:t>ieļauts 5., 8. un 15.priekšlikumā)</w:t>
      </w:r>
      <w:r w:rsidR="009E7F4E" w:rsidRPr="009E7F4E">
        <w:rPr>
          <w:rStyle w:val="spelle"/>
          <w:szCs w:val="28"/>
        </w:rPr>
        <w:t>,</w:t>
      </w:r>
      <w:r w:rsidR="009E7F4E">
        <w:rPr>
          <w:rStyle w:val="spelle"/>
        </w:rPr>
        <w:t xml:space="preserve"> 13. un 14. </w:t>
      </w:r>
      <w:r w:rsidR="008A369F">
        <w:rPr>
          <w:rStyle w:val="spelle"/>
        </w:rPr>
        <w:t>priekšlikumu</w:t>
      </w:r>
      <w:r w:rsidR="008A369F" w:rsidRPr="009E7F4E">
        <w:rPr>
          <w:rStyle w:val="spelle"/>
          <w:szCs w:val="28"/>
        </w:rPr>
        <w:t xml:space="preserve"> </w:t>
      </w:r>
      <w:r w:rsidR="009E7F4E">
        <w:rPr>
          <w:rStyle w:val="spelle"/>
        </w:rPr>
        <w:t xml:space="preserve">(iekļauts 14.A priekšlikumā), </w:t>
      </w:r>
      <w:r w:rsidR="008E4C71">
        <w:rPr>
          <w:rStyle w:val="spelle"/>
        </w:rPr>
        <w:t xml:space="preserve">17. priekšlikumu (iekļauts 18.priekšlikumā) un </w:t>
      </w:r>
      <w:r w:rsidR="009E7F4E">
        <w:rPr>
          <w:rStyle w:val="spelle"/>
        </w:rPr>
        <w:t>22</w:t>
      </w:r>
      <w:r w:rsidR="008A369F">
        <w:rPr>
          <w:rStyle w:val="spelle"/>
        </w:rPr>
        <w:t>.</w:t>
      </w:r>
      <w:r w:rsidR="009E7F4E">
        <w:rPr>
          <w:rStyle w:val="spelle"/>
        </w:rPr>
        <w:t xml:space="preserve"> </w:t>
      </w:r>
      <w:r w:rsidR="008A369F">
        <w:rPr>
          <w:rStyle w:val="spelle"/>
        </w:rPr>
        <w:t xml:space="preserve">priekšlikumu </w:t>
      </w:r>
      <w:r w:rsidR="009E7F4E">
        <w:rPr>
          <w:rStyle w:val="spelle"/>
        </w:rPr>
        <w:t>(iekļauts 23.priekšlikumā).</w:t>
      </w:r>
    </w:p>
    <w:p w:rsidR="009E7F4E" w:rsidRDefault="009E7F4E" w:rsidP="001120C7">
      <w:pPr>
        <w:ind w:firstLine="720"/>
        <w:jc w:val="both"/>
        <w:rPr>
          <w:rStyle w:val="spelle"/>
        </w:rPr>
      </w:pPr>
    </w:p>
    <w:p w:rsidR="001120C7" w:rsidRPr="001120C7" w:rsidRDefault="009E7F4E" w:rsidP="001120C7">
      <w:pPr>
        <w:ind w:firstLine="720"/>
        <w:jc w:val="both"/>
        <w:rPr>
          <w:rStyle w:val="spelle"/>
        </w:rPr>
      </w:pPr>
      <w:r>
        <w:rPr>
          <w:rStyle w:val="spelle"/>
        </w:rPr>
        <w:t xml:space="preserve">3. </w:t>
      </w:r>
      <w:r w:rsidR="001120C7" w:rsidRPr="001120C7">
        <w:rPr>
          <w:rStyle w:val="spelle"/>
        </w:rPr>
        <w:t xml:space="preserve">Lūgt  Budžeta un finanšu (nodokļu) komisiju virzīt </w:t>
      </w:r>
      <w:r>
        <w:rPr>
          <w:rStyle w:val="spelle"/>
        </w:rPr>
        <w:t>14</w:t>
      </w:r>
      <w:r w:rsidR="001120C7">
        <w:rPr>
          <w:rStyle w:val="spelle"/>
        </w:rPr>
        <w:t xml:space="preserve">.A </w:t>
      </w:r>
      <w:r w:rsidR="001120C7" w:rsidRPr="001120C7">
        <w:rPr>
          <w:rStyle w:val="spelle"/>
        </w:rPr>
        <w:t xml:space="preserve">priekšlikumu </w:t>
      </w:r>
      <w:r>
        <w:rPr>
          <w:rStyle w:val="spelle"/>
        </w:rPr>
        <w:t>šādā redakcijā</w:t>
      </w:r>
      <w:r w:rsidR="001120C7" w:rsidRPr="001120C7">
        <w:rPr>
          <w:rStyle w:val="spelle"/>
        </w:rPr>
        <w:t>:</w:t>
      </w:r>
    </w:p>
    <w:p w:rsidR="009E7F4E" w:rsidRPr="009E7F4E" w:rsidRDefault="00162116" w:rsidP="009E7F4E">
      <w:pPr>
        <w:pStyle w:val="ListParagraph"/>
        <w:ind w:left="0" w:firstLine="709"/>
        <w:jc w:val="both"/>
        <w:rPr>
          <w:szCs w:val="28"/>
          <w:lang w:eastAsia="en-US"/>
        </w:rPr>
      </w:pPr>
      <w:r w:rsidRPr="00162116">
        <w:rPr>
          <w:szCs w:val="28"/>
        </w:rPr>
        <w:t>"</w:t>
      </w:r>
      <w:r w:rsidR="009E7F4E" w:rsidRPr="009E7F4E">
        <w:rPr>
          <w:szCs w:val="28"/>
          <w:lang w:eastAsia="en-US"/>
        </w:rPr>
        <w:t>Izteikt 1.lasījumā atbalstītā likumprojekta 5.panta pirmo daļu šādā redakcijā:</w:t>
      </w:r>
    </w:p>
    <w:p w:rsidR="009E7F4E" w:rsidRPr="009E7F4E" w:rsidRDefault="00162116" w:rsidP="009E7F4E">
      <w:pPr>
        <w:ind w:firstLine="709"/>
        <w:jc w:val="both"/>
        <w:rPr>
          <w:rFonts w:eastAsia="Calibri"/>
          <w:iCs/>
          <w:szCs w:val="28"/>
          <w:lang w:eastAsia="en-US"/>
        </w:rPr>
      </w:pPr>
      <w:r w:rsidRPr="00162116">
        <w:rPr>
          <w:szCs w:val="28"/>
        </w:rPr>
        <w:t>"</w:t>
      </w:r>
      <w:r w:rsidR="009E7F4E" w:rsidRPr="009E7F4E">
        <w:rPr>
          <w:rFonts w:eastAsia="Calibri"/>
          <w:iCs/>
          <w:szCs w:val="28"/>
          <w:lang w:eastAsia="en-US"/>
        </w:rPr>
        <w:t>Papildināt pirmo daļu ar 2.</w:t>
      </w:r>
      <w:r w:rsidR="009E7F4E" w:rsidRPr="009E7F4E">
        <w:rPr>
          <w:rFonts w:eastAsia="Calibri"/>
          <w:iCs/>
          <w:szCs w:val="28"/>
          <w:vertAlign w:val="superscript"/>
          <w:lang w:eastAsia="en-US"/>
        </w:rPr>
        <w:t>1</w:t>
      </w:r>
      <w:r w:rsidR="009E7F4E" w:rsidRPr="009E7F4E">
        <w:rPr>
          <w:rFonts w:eastAsia="Calibri"/>
          <w:iCs/>
          <w:szCs w:val="28"/>
          <w:lang w:eastAsia="en-US"/>
        </w:rPr>
        <w:t xml:space="preserve"> un 2.</w:t>
      </w:r>
      <w:r w:rsidR="009E7F4E" w:rsidRPr="009E7F4E">
        <w:rPr>
          <w:rFonts w:eastAsia="Calibri"/>
          <w:iCs/>
          <w:szCs w:val="28"/>
          <w:vertAlign w:val="superscript"/>
          <w:lang w:eastAsia="en-US"/>
        </w:rPr>
        <w:t xml:space="preserve">2 </w:t>
      </w:r>
      <w:r w:rsidR="009E7F4E" w:rsidRPr="009E7F4E">
        <w:rPr>
          <w:rFonts w:eastAsia="Calibri"/>
          <w:iCs/>
          <w:szCs w:val="28"/>
          <w:lang w:eastAsia="en-US"/>
        </w:rPr>
        <w:t>punktu šādā redakcijā:</w:t>
      </w:r>
    </w:p>
    <w:p w:rsidR="009E7F4E" w:rsidRPr="009E7F4E" w:rsidRDefault="00162116" w:rsidP="009E7F4E">
      <w:pPr>
        <w:ind w:firstLine="720"/>
        <w:jc w:val="both"/>
        <w:rPr>
          <w:rFonts w:eastAsia="Calibri"/>
          <w:szCs w:val="28"/>
          <w:lang w:eastAsia="en-US"/>
        </w:rPr>
      </w:pPr>
      <w:r w:rsidRPr="00162116">
        <w:rPr>
          <w:szCs w:val="28"/>
        </w:rPr>
        <w:t>"</w:t>
      </w:r>
      <w:r w:rsidR="009E7F4E" w:rsidRPr="009E7F4E">
        <w:rPr>
          <w:rFonts w:eastAsia="Calibri"/>
          <w:iCs/>
          <w:szCs w:val="28"/>
          <w:lang w:eastAsia="en-US"/>
        </w:rPr>
        <w:t>2</w:t>
      </w:r>
      <w:r w:rsidR="009E7F4E" w:rsidRPr="009E7F4E">
        <w:rPr>
          <w:rFonts w:eastAsia="Calibri"/>
          <w:iCs/>
          <w:color w:val="000000"/>
          <w:szCs w:val="28"/>
          <w:vertAlign w:val="superscript"/>
        </w:rPr>
        <w:t>1</w:t>
      </w:r>
      <w:r w:rsidR="009E7F4E" w:rsidRPr="009E7F4E">
        <w:rPr>
          <w:rFonts w:eastAsia="Calibri"/>
          <w:iCs/>
          <w:color w:val="000000"/>
          <w:szCs w:val="28"/>
        </w:rPr>
        <w:t>) dividendes, dividendēm pielīdzināms ienākums vai nosacītās dividendes, ja par aprēķinātajām dividendēm, dividendēm pielīdzināmu ienākumu vai nosacītajām dividendēm uzņēmuma līmenī no peļņas daļas, no kuras tiek maksātas dividendes, dividendēm pielīdzināms ienākums vai nosacītās dividendes,</w:t>
      </w:r>
      <w:r w:rsidR="009E7F4E" w:rsidRPr="009E7F4E">
        <w:rPr>
          <w:rFonts w:eastAsia="Calibri"/>
          <w:szCs w:val="28"/>
          <w:lang w:eastAsia="en-US"/>
        </w:rPr>
        <w:t xml:space="preserve"> ja izpildās viens no šādiem nosacījumiem:</w:t>
      </w:r>
    </w:p>
    <w:p w:rsidR="009E7F4E" w:rsidRPr="009E7F4E" w:rsidRDefault="009E7F4E" w:rsidP="009E7F4E">
      <w:pPr>
        <w:shd w:val="clear" w:color="auto" w:fill="FFFFFF"/>
        <w:ind w:firstLine="709"/>
        <w:jc w:val="both"/>
        <w:rPr>
          <w:rFonts w:eastAsia="Calibri"/>
          <w:iCs/>
          <w:szCs w:val="28"/>
        </w:rPr>
      </w:pPr>
      <w:r w:rsidRPr="009E7F4E">
        <w:rPr>
          <w:rFonts w:eastAsia="Calibri"/>
          <w:iCs/>
          <w:color w:val="000000"/>
          <w:szCs w:val="28"/>
        </w:rPr>
        <w:t xml:space="preserve">a) </w:t>
      </w:r>
      <w:r w:rsidRPr="009E7F4E">
        <w:rPr>
          <w:rFonts w:eastAsia="Calibri"/>
          <w:szCs w:val="28"/>
          <w:lang w:eastAsia="en-US"/>
        </w:rPr>
        <w:t>Latvijā ir samaksāts uzņēmumu ienākuma nodoklis saskaņā ar Uzņēmumu ienākuma nodokļa likumu (šo atbrīvojumu nepiemēro, ja uzņēmumu ienākuma nodoklis ir samaksāts saskaņā ar likumu “Par uzņēmumu ienākuma nodokli”),</w:t>
      </w:r>
    </w:p>
    <w:p w:rsidR="009E7F4E" w:rsidRPr="009E7F4E" w:rsidRDefault="009E7F4E" w:rsidP="009E7F4E">
      <w:pPr>
        <w:tabs>
          <w:tab w:val="left" w:pos="0"/>
        </w:tabs>
        <w:ind w:firstLine="720"/>
        <w:jc w:val="both"/>
        <w:rPr>
          <w:iCs/>
          <w:color w:val="000000"/>
          <w:szCs w:val="28"/>
        </w:rPr>
      </w:pPr>
      <w:r w:rsidRPr="009E7F4E">
        <w:rPr>
          <w:iCs/>
          <w:color w:val="000000"/>
          <w:szCs w:val="28"/>
        </w:rPr>
        <w:t>b) ārvalstī ir samaksāts uzņēmumu ienākuma nodoklis vai tam pielīdzināms nodoklis vai ārvalstī no dividendēm, dividendēm pielīdzināma ienākuma vai nosacītajām dividendēm ir ieturēts iedzīvotāju ienākuma nodoklis vai tam pielīdzināms nodoklis;</w:t>
      </w:r>
    </w:p>
    <w:p w:rsidR="009E7F4E" w:rsidRPr="009E7F4E" w:rsidRDefault="009E7F4E" w:rsidP="009E7F4E">
      <w:pPr>
        <w:tabs>
          <w:tab w:val="left" w:pos="0"/>
        </w:tabs>
        <w:ind w:left="720"/>
        <w:jc w:val="both"/>
        <w:rPr>
          <w:iCs/>
          <w:color w:val="000000"/>
          <w:szCs w:val="28"/>
        </w:rPr>
      </w:pPr>
    </w:p>
    <w:p w:rsidR="009E7F4E" w:rsidRPr="009E7F4E" w:rsidRDefault="009E7F4E" w:rsidP="009E7F4E">
      <w:pPr>
        <w:ind w:firstLine="720"/>
        <w:jc w:val="both"/>
        <w:rPr>
          <w:rFonts w:eastAsia="Calibri"/>
          <w:szCs w:val="28"/>
          <w:lang w:eastAsia="en-US"/>
        </w:rPr>
      </w:pPr>
      <w:r w:rsidRPr="009E7F4E">
        <w:rPr>
          <w:rFonts w:eastAsia="Calibri"/>
          <w:szCs w:val="28"/>
          <w:lang w:eastAsia="en-US"/>
        </w:rPr>
        <w:t>2</w:t>
      </w:r>
      <w:r w:rsidRPr="009E7F4E">
        <w:rPr>
          <w:rFonts w:eastAsia="Calibri"/>
          <w:szCs w:val="28"/>
          <w:vertAlign w:val="superscript"/>
          <w:lang w:eastAsia="en-US"/>
        </w:rPr>
        <w:t>2</w:t>
      </w:r>
      <w:r w:rsidRPr="009E7F4E">
        <w:rPr>
          <w:rFonts w:eastAsia="Calibri"/>
          <w:szCs w:val="28"/>
          <w:lang w:eastAsia="en-US"/>
        </w:rPr>
        <w:t>) likvidācijas kvota, ja izpildās viens no šādiem nosacījumiem:</w:t>
      </w:r>
    </w:p>
    <w:p w:rsidR="009E7F4E" w:rsidRPr="009E7F4E" w:rsidRDefault="009E7F4E" w:rsidP="009E7F4E">
      <w:pPr>
        <w:numPr>
          <w:ilvl w:val="0"/>
          <w:numId w:val="1"/>
        </w:numPr>
        <w:ind w:left="0" w:firstLine="709"/>
        <w:contextualSpacing/>
        <w:jc w:val="both"/>
        <w:rPr>
          <w:szCs w:val="28"/>
          <w:lang w:eastAsia="en-US"/>
        </w:rPr>
      </w:pPr>
      <w:r w:rsidRPr="009E7F4E">
        <w:rPr>
          <w:szCs w:val="28"/>
          <w:lang w:eastAsia="en-US"/>
        </w:rPr>
        <w:t>Latvijā ir samaksāts uzņēmumu ienākuma nodoklis saskaņā ar Uzņēmumu ienākuma nodokļa likumu;</w:t>
      </w:r>
    </w:p>
    <w:p w:rsidR="001120C7" w:rsidRDefault="009E7F4E" w:rsidP="009E7F4E">
      <w:pPr>
        <w:ind w:firstLine="720"/>
        <w:jc w:val="both"/>
        <w:rPr>
          <w:rStyle w:val="spelle"/>
        </w:rPr>
      </w:pPr>
      <w:r w:rsidRPr="009E7F4E">
        <w:rPr>
          <w:rFonts w:eastAsia="Calibri"/>
          <w:szCs w:val="28"/>
          <w:lang w:eastAsia="en-US"/>
        </w:rPr>
        <w:t>b) ārvalstī ir samaksāts uzņēmumu ienākuma nodoklis vai tam pielīdzināms nodoklis vai ārvalstī no likvidācijas kvotas ir ieturēts iedzīvotāju ienākuma nodoklis v</w:t>
      </w:r>
      <w:r>
        <w:rPr>
          <w:rFonts w:eastAsia="Calibri"/>
          <w:szCs w:val="28"/>
          <w:lang w:eastAsia="en-US"/>
        </w:rPr>
        <w:t>ai tam pielīdzināms nodoklis.</w:t>
      </w:r>
      <w:r w:rsidR="00162116" w:rsidRPr="00162116">
        <w:rPr>
          <w:szCs w:val="28"/>
        </w:rPr>
        <w:t>"""</w:t>
      </w:r>
      <w:r>
        <w:rPr>
          <w:rFonts w:eastAsia="Calibri"/>
          <w:szCs w:val="28"/>
          <w:lang w:eastAsia="en-US"/>
        </w:rPr>
        <w:t>.</w:t>
      </w:r>
    </w:p>
    <w:p w:rsidR="008873B1" w:rsidRDefault="008873B1" w:rsidP="008873B1">
      <w:pPr>
        <w:ind w:firstLine="720"/>
        <w:jc w:val="both"/>
        <w:rPr>
          <w:rStyle w:val="spelle"/>
        </w:rPr>
      </w:pPr>
    </w:p>
    <w:p w:rsidR="00263294" w:rsidRDefault="008A369F" w:rsidP="008873B1">
      <w:pPr>
        <w:ind w:firstLine="720"/>
        <w:jc w:val="both"/>
        <w:rPr>
          <w:rStyle w:val="spelle"/>
        </w:rPr>
      </w:pPr>
      <w:r>
        <w:rPr>
          <w:rStyle w:val="spelle"/>
        </w:rPr>
        <w:t>4</w:t>
      </w:r>
      <w:r w:rsidR="00263294">
        <w:rPr>
          <w:rStyle w:val="spelle"/>
        </w:rPr>
        <w:t>. Valsts kancelejai nosūtīt šo protokollēmumu Saeimas Budžeta un finanšu (nodokļu) komisijai.</w:t>
      </w:r>
    </w:p>
    <w:p w:rsidR="008F0919" w:rsidRDefault="008F0919"/>
    <w:sectPr w:rsidR="008F0919" w:rsidSect="00B84D0C">
      <w:footerReference w:type="default" r:id="rId7"/>
      <w:pgSz w:w="11906" w:h="16838" w:code="9"/>
      <w:pgMar w:top="1276"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C8" w:rsidRDefault="006509C8" w:rsidP="00162116">
      <w:r>
        <w:separator/>
      </w:r>
    </w:p>
  </w:endnote>
  <w:endnote w:type="continuationSeparator" w:id="0">
    <w:p w:rsidR="006509C8" w:rsidRDefault="006509C8" w:rsidP="0016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16" w:rsidRPr="00162116" w:rsidRDefault="00162116">
    <w:pPr>
      <w:pStyle w:val="Footer"/>
      <w:rPr>
        <w:sz w:val="20"/>
      </w:rPr>
    </w:pPr>
    <w:r w:rsidRPr="00162116">
      <w:rPr>
        <w:sz w:val="20"/>
      </w:rPr>
      <w:fldChar w:fldCharType="begin"/>
    </w:r>
    <w:r w:rsidRPr="00162116">
      <w:rPr>
        <w:sz w:val="20"/>
      </w:rPr>
      <w:instrText xml:space="preserve"> FILENAME   \* MERGEFORMAT </w:instrText>
    </w:r>
    <w:r w:rsidRPr="00162116">
      <w:rPr>
        <w:sz w:val="20"/>
      </w:rPr>
      <w:fldChar w:fldCharType="separate"/>
    </w:r>
    <w:r w:rsidRPr="00162116">
      <w:rPr>
        <w:noProof/>
        <w:sz w:val="20"/>
      </w:rPr>
      <w:t>FMProt_250717_IINgroz 977.docx</w:t>
    </w:r>
    <w:r w:rsidRPr="0016211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C8" w:rsidRDefault="006509C8" w:rsidP="00162116">
      <w:r>
        <w:separator/>
      </w:r>
    </w:p>
  </w:footnote>
  <w:footnote w:type="continuationSeparator" w:id="0">
    <w:p w:rsidR="006509C8" w:rsidRDefault="006509C8" w:rsidP="00162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67988"/>
    <w:multiLevelType w:val="hybridMultilevel"/>
    <w:tmpl w:val="199CE842"/>
    <w:lvl w:ilvl="0" w:tplc="7DDA7C9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94"/>
    <w:rsid w:val="000A1606"/>
    <w:rsid w:val="001120C7"/>
    <w:rsid w:val="00162116"/>
    <w:rsid w:val="001D6741"/>
    <w:rsid w:val="001F7B9F"/>
    <w:rsid w:val="00263294"/>
    <w:rsid w:val="00355BF1"/>
    <w:rsid w:val="004378A5"/>
    <w:rsid w:val="004A2B7B"/>
    <w:rsid w:val="00626800"/>
    <w:rsid w:val="006509C8"/>
    <w:rsid w:val="00707B98"/>
    <w:rsid w:val="008873B1"/>
    <w:rsid w:val="008932D6"/>
    <w:rsid w:val="008A369F"/>
    <w:rsid w:val="008E4C71"/>
    <w:rsid w:val="008F0919"/>
    <w:rsid w:val="009258F7"/>
    <w:rsid w:val="009955F6"/>
    <w:rsid w:val="00995738"/>
    <w:rsid w:val="009C71C2"/>
    <w:rsid w:val="009E7F4E"/>
    <w:rsid w:val="00B84D0C"/>
    <w:rsid w:val="00CA2D87"/>
    <w:rsid w:val="00D52D86"/>
    <w:rsid w:val="00ED6C93"/>
    <w:rsid w:val="00F6231C"/>
    <w:rsid w:val="00FD7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2762-563C-4AEB-A83C-3F7545CF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94"/>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294"/>
    <w:pPr>
      <w:tabs>
        <w:tab w:val="center" w:pos="4320"/>
        <w:tab w:val="right" w:pos="8640"/>
      </w:tabs>
    </w:pPr>
    <w:rPr>
      <w:lang w:val="en-GB"/>
    </w:rPr>
  </w:style>
  <w:style w:type="character" w:customStyle="1" w:styleId="HeaderChar">
    <w:name w:val="Header Char"/>
    <w:basedOn w:val="DefaultParagraphFont"/>
    <w:link w:val="Header"/>
    <w:rsid w:val="00263294"/>
    <w:rPr>
      <w:rFonts w:ascii="Times New Roman" w:eastAsia="Times New Roman" w:hAnsi="Times New Roman" w:cs="Times New Roman"/>
      <w:sz w:val="28"/>
      <w:szCs w:val="20"/>
      <w:lang w:val="en-GB" w:eastAsia="lv-LV"/>
    </w:rPr>
  </w:style>
  <w:style w:type="paragraph" w:styleId="BodyText">
    <w:name w:val="Body Text"/>
    <w:basedOn w:val="Normal"/>
    <w:link w:val="BodyTextChar"/>
    <w:rsid w:val="00263294"/>
    <w:pPr>
      <w:jc w:val="both"/>
    </w:pPr>
  </w:style>
  <w:style w:type="character" w:customStyle="1" w:styleId="BodyTextChar">
    <w:name w:val="Body Text Char"/>
    <w:basedOn w:val="DefaultParagraphFont"/>
    <w:link w:val="BodyText"/>
    <w:rsid w:val="00263294"/>
    <w:rPr>
      <w:rFonts w:ascii="Times New Roman" w:eastAsia="Times New Roman" w:hAnsi="Times New Roman" w:cs="Times New Roman"/>
      <w:sz w:val="28"/>
      <w:szCs w:val="20"/>
      <w:lang w:eastAsia="lv-LV"/>
    </w:rPr>
  </w:style>
  <w:style w:type="character" w:customStyle="1" w:styleId="spelle">
    <w:name w:val="spelle"/>
    <w:basedOn w:val="DefaultParagraphFont"/>
    <w:rsid w:val="00263294"/>
  </w:style>
  <w:style w:type="character" w:styleId="CommentReference">
    <w:name w:val="annotation reference"/>
    <w:basedOn w:val="DefaultParagraphFont"/>
    <w:uiPriority w:val="99"/>
    <w:semiHidden/>
    <w:unhideWhenUsed/>
    <w:rsid w:val="00263294"/>
    <w:rPr>
      <w:sz w:val="16"/>
      <w:szCs w:val="16"/>
    </w:rPr>
  </w:style>
  <w:style w:type="paragraph" w:styleId="CommentText">
    <w:name w:val="annotation text"/>
    <w:basedOn w:val="Normal"/>
    <w:link w:val="CommentTextChar"/>
    <w:uiPriority w:val="99"/>
    <w:semiHidden/>
    <w:unhideWhenUsed/>
    <w:rsid w:val="00263294"/>
    <w:rPr>
      <w:sz w:val="20"/>
    </w:rPr>
  </w:style>
  <w:style w:type="character" w:customStyle="1" w:styleId="CommentTextChar">
    <w:name w:val="Comment Text Char"/>
    <w:basedOn w:val="DefaultParagraphFont"/>
    <w:link w:val="CommentText"/>
    <w:uiPriority w:val="99"/>
    <w:semiHidden/>
    <w:rsid w:val="0026329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63294"/>
    <w:rPr>
      <w:b/>
      <w:bCs/>
    </w:rPr>
  </w:style>
  <w:style w:type="character" w:customStyle="1" w:styleId="CommentSubjectChar">
    <w:name w:val="Comment Subject Char"/>
    <w:basedOn w:val="CommentTextChar"/>
    <w:link w:val="CommentSubject"/>
    <w:uiPriority w:val="99"/>
    <w:semiHidden/>
    <w:rsid w:val="0026329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63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294"/>
    <w:rPr>
      <w:rFonts w:ascii="Segoe UI" w:eastAsia="Times New Roman" w:hAnsi="Segoe UI" w:cs="Segoe UI"/>
      <w:sz w:val="18"/>
      <w:szCs w:val="18"/>
      <w:lang w:eastAsia="lv-LV"/>
    </w:rPr>
  </w:style>
  <w:style w:type="paragraph" w:styleId="Revision">
    <w:name w:val="Revision"/>
    <w:hidden/>
    <w:uiPriority w:val="99"/>
    <w:semiHidden/>
    <w:rsid w:val="001120C7"/>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9E7F4E"/>
    <w:pPr>
      <w:ind w:left="720"/>
      <w:contextualSpacing/>
    </w:pPr>
  </w:style>
  <w:style w:type="paragraph" w:styleId="Footer">
    <w:name w:val="footer"/>
    <w:basedOn w:val="Normal"/>
    <w:link w:val="FooterChar"/>
    <w:uiPriority w:val="99"/>
    <w:unhideWhenUsed/>
    <w:rsid w:val="00162116"/>
    <w:pPr>
      <w:tabs>
        <w:tab w:val="center" w:pos="4153"/>
        <w:tab w:val="right" w:pos="8306"/>
      </w:tabs>
    </w:pPr>
  </w:style>
  <w:style w:type="character" w:customStyle="1" w:styleId="FooterChar">
    <w:name w:val="Footer Char"/>
    <w:basedOn w:val="DefaultParagraphFont"/>
    <w:link w:val="Footer"/>
    <w:uiPriority w:val="99"/>
    <w:rsid w:val="00162116"/>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1362</Words>
  <Characters>777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Priekšlikumi likumprojekta "Grozījumi likumā "Par iedzīvotāju ienākuma nodokli"" izskatīšanai Saeimā otrajā lasījumā </dc:title>
  <dc:subject>Protokols</dc:subject>
  <dc:creator>Daina Robežniece</dc:creator>
  <cp:keywords/>
  <dc:description>Daina.robezniece@fm.gov.lv_x000d_
67-095-495</dc:description>
  <cp:lastModifiedBy>Zane Zute</cp:lastModifiedBy>
  <cp:revision>4</cp:revision>
  <cp:lastPrinted>2017-07-24T18:19:00Z</cp:lastPrinted>
  <dcterms:created xsi:type="dcterms:W3CDTF">2017-07-24T20:06:00Z</dcterms:created>
  <dcterms:modified xsi:type="dcterms:W3CDTF">2017-07-25T06:44:00Z</dcterms:modified>
</cp:coreProperties>
</file>